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1D" w:rsidRPr="00074B48" w:rsidRDefault="00F84F1D" w:rsidP="00F84F1D">
      <w:pPr>
        <w:rPr>
          <w:rFonts w:ascii="Calibri" w:hAnsi="Calibri"/>
          <w:b/>
          <w:color w:val="0070C0"/>
          <w:sz w:val="28"/>
          <w:szCs w:val="28"/>
        </w:rPr>
      </w:pPr>
      <w:r>
        <w:rPr>
          <w:rFonts w:ascii="Calibri" w:hAnsi="Calibri"/>
          <w:b/>
          <w:color w:val="0070C0"/>
          <w:sz w:val="28"/>
          <w:szCs w:val="28"/>
        </w:rPr>
        <w:t xml:space="preserve">Предмет:  Ликовна култура </w:t>
      </w:r>
      <w:r>
        <w:rPr>
          <w:rFonts w:ascii="Calibri" w:hAnsi="Calibri"/>
          <w:b/>
          <w:color w:val="0070C0"/>
          <w:sz w:val="28"/>
          <w:szCs w:val="28"/>
        </w:rPr>
        <w:tab/>
      </w: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6"/>
        <w:gridCol w:w="2430"/>
        <w:gridCol w:w="9272"/>
      </w:tblGrid>
      <w:tr w:rsidR="00F84F1D" w:rsidRPr="00A812BC" w:rsidTr="00114D68">
        <w:tc>
          <w:tcPr>
            <w:tcW w:w="2356" w:type="dxa"/>
            <w:vMerge w:val="restart"/>
            <w:vAlign w:val="center"/>
          </w:tcPr>
          <w:p w:rsidR="00F84F1D" w:rsidRPr="00A812BC" w:rsidRDefault="00F84F1D" w:rsidP="00114D68">
            <w:pPr>
              <w:spacing w:after="0" w:line="240" w:lineRule="auto"/>
              <w:rPr>
                <w:rFonts w:ascii="Calibri" w:hAnsi="Calibri"/>
                <w:b/>
                <w:color w:val="0070C0"/>
              </w:rPr>
            </w:pPr>
            <w:r w:rsidRPr="00A812BC">
              <w:rPr>
                <w:rFonts w:ascii="Calibri" w:hAnsi="Calibri"/>
                <w:b/>
                <w:color w:val="0070C0"/>
              </w:rPr>
              <w:t>ФОНД ЧАСОВА</w:t>
            </w:r>
          </w:p>
        </w:tc>
        <w:tc>
          <w:tcPr>
            <w:tcW w:w="2430" w:type="dxa"/>
            <w:vAlign w:val="center"/>
          </w:tcPr>
          <w:p w:rsidR="00F84F1D" w:rsidRPr="00A812BC" w:rsidRDefault="00F84F1D" w:rsidP="00114D68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812BC">
              <w:rPr>
                <w:rFonts w:ascii="Calibri" w:hAnsi="Calibri"/>
              </w:rPr>
              <w:t>недељно</w:t>
            </w:r>
          </w:p>
        </w:tc>
        <w:tc>
          <w:tcPr>
            <w:tcW w:w="9272" w:type="dxa"/>
          </w:tcPr>
          <w:p w:rsidR="00F84F1D" w:rsidRPr="00ED41A6" w:rsidRDefault="00F84F1D" w:rsidP="00114D68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 w:rsidR="00F84F1D" w:rsidRPr="00A812BC" w:rsidTr="00114D68">
        <w:tc>
          <w:tcPr>
            <w:tcW w:w="2356" w:type="dxa"/>
            <w:vMerge/>
          </w:tcPr>
          <w:p w:rsidR="00F84F1D" w:rsidRPr="00A812BC" w:rsidRDefault="00F84F1D" w:rsidP="00114D68">
            <w:pPr>
              <w:spacing w:after="0" w:line="240" w:lineRule="auto"/>
              <w:rPr>
                <w:rFonts w:ascii="Calibri" w:hAnsi="Calibri"/>
                <w:b/>
                <w:color w:val="0070C0"/>
              </w:rPr>
            </w:pPr>
          </w:p>
        </w:tc>
        <w:tc>
          <w:tcPr>
            <w:tcW w:w="2430" w:type="dxa"/>
            <w:vAlign w:val="center"/>
          </w:tcPr>
          <w:p w:rsidR="00F84F1D" w:rsidRPr="00A812BC" w:rsidRDefault="00F84F1D" w:rsidP="00114D68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812BC">
              <w:rPr>
                <w:rFonts w:ascii="Calibri" w:hAnsi="Calibri"/>
              </w:rPr>
              <w:t>годишње</w:t>
            </w:r>
          </w:p>
        </w:tc>
        <w:tc>
          <w:tcPr>
            <w:tcW w:w="9272" w:type="dxa"/>
          </w:tcPr>
          <w:p w:rsidR="00F84F1D" w:rsidRPr="00ED41A6" w:rsidRDefault="00F84F1D" w:rsidP="00114D68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36</w:t>
            </w:r>
          </w:p>
        </w:tc>
      </w:tr>
      <w:tr w:rsidR="00F84F1D" w:rsidRPr="00A812BC" w:rsidTr="00114D68">
        <w:trPr>
          <w:trHeight w:val="510"/>
        </w:trPr>
        <w:tc>
          <w:tcPr>
            <w:tcW w:w="2356" w:type="dxa"/>
            <w:vAlign w:val="center"/>
          </w:tcPr>
          <w:p w:rsidR="00F84F1D" w:rsidRPr="00E55E79" w:rsidRDefault="00F84F1D" w:rsidP="00114D68">
            <w:pPr>
              <w:spacing w:after="0" w:line="240" w:lineRule="auto"/>
              <w:rPr>
                <w:rFonts w:ascii="Calibri" w:hAnsi="Calibri"/>
                <w:b/>
                <w:color w:val="0070C0"/>
              </w:rPr>
            </w:pPr>
            <w:r w:rsidRPr="00A812BC">
              <w:rPr>
                <w:rFonts w:ascii="Calibri" w:hAnsi="Calibri"/>
                <w:b/>
                <w:color w:val="0070C0"/>
              </w:rPr>
              <w:t>ЦИЉ</w:t>
            </w:r>
          </w:p>
        </w:tc>
        <w:tc>
          <w:tcPr>
            <w:tcW w:w="11702" w:type="dxa"/>
            <w:gridSpan w:val="2"/>
          </w:tcPr>
          <w:p w:rsidR="00F84F1D" w:rsidRPr="00675FFB" w:rsidRDefault="00F84F1D" w:rsidP="00114D68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Циљ учења ликовне културе је да се ученик , развијајући стваралачко мишљење и естетичке критеријуме, кроз практични рад оспособљава за комуникцију и да изграђује позитиван однос према култури и уметничком наслеђу свог и других народа</w:t>
            </w:r>
          </w:p>
        </w:tc>
      </w:tr>
    </w:tbl>
    <w:p w:rsidR="00F84F1D" w:rsidRDefault="00F84F1D" w:rsidP="00F84F1D">
      <w:pPr>
        <w:rPr>
          <w:rFonts w:ascii="Calibri" w:hAnsi="Calibri"/>
          <w:b/>
          <w:color w:val="0070C0"/>
          <w:sz w:val="28"/>
          <w:szCs w:val="28"/>
        </w:rPr>
      </w:pP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14"/>
        <w:gridCol w:w="5564"/>
        <w:gridCol w:w="6480"/>
      </w:tblGrid>
      <w:tr w:rsidR="00F84F1D" w:rsidRPr="00CC2045" w:rsidTr="00114D68">
        <w:tc>
          <w:tcPr>
            <w:tcW w:w="2014" w:type="dxa"/>
            <w:vAlign w:val="center"/>
          </w:tcPr>
          <w:p w:rsidR="00F84F1D" w:rsidRPr="00CC2045" w:rsidRDefault="00F84F1D" w:rsidP="00114D6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70C0"/>
              </w:rPr>
            </w:pPr>
            <w:r w:rsidRPr="00CC2045">
              <w:rPr>
                <w:rFonts w:ascii="Calibri" w:hAnsi="Calibri" w:cs="Calibri"/>
                <w:b/>
                <w:color w:val="0070C0"/>
              </w:rPr>
              <w:t>ОБЛАСТ</w:t>
            </w:r>
            <w:r>
              <w:rPr>
                <w:rFonts w:ascii="Calibri" w:hAnsi="Calibri" w:cs="Calibri"/>
                <w:b/>
                <w:color w:val="0070C0"/>
              </w:rPr>
              <w:t>/ТЕМА</w:t>
            </w:r>
          </w:p>
        </w:tc>
        <w:tc>
          <w:tcPr>
            <w:tcW w:w="5564" w:type="dxa"/>
            <w:vAlign w:val="center"/>
          </w:tcPr>
          <w:p w:rsidR="00F84F1D" w:rsidRPr="00CC2045" w:rsidRDefault="00F84F1D" w:rsidP="00114D6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70C0"/>
              </w:rPr>
            </w:pPr>
            <w:r w:rsidRPr="00CC2045">
              <w:rPr>
                <w:rFonts w:ascii="Calibri" w:hAnsi="Calibri" w:cs="Calibri"/>
                <w:b/>
                <w:color w:val="0070C0"/>
              </w:rPr>
              <w:t>САДРЖАЈИ ПРОГРАМА</w:t>
            </w:r>
          </w:p>
        </w:tc>
        <w:tc>
          <w:tcPr>
            <w:tcW w:w="6480" w:type="dxa"/>
            <w:vAlign w:val="center"/>
          </w:tcPr>
          <w:p w:rsidR="00F84F1D" w:rsidRDefault="00F84F1D" w:rsidP="00114D6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70C0"/>
              </w:rPr>
            </w:pPr>
            <w:r w:rsidRPr="00CC2045">
              <w:rPr>
                <w:rFonts w:ascii="Calibri" w:hAnsi="Calibri" w:cs="Calibri"/>
                <w:b/>
                <w:color w:val="0070C0"/>
              </w:rPr>
              <w:t>ИСХОДИ</w:t>
            </w:r>
          </w:p>
          <w:p w:rsidR="00F84F1D" w:rsidRPr="00CC2045" w:rsidRDefault="00F84F1D" w:rsidP="00114D6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70C0"/>
              </w:rPr>
            </w:pPr>
            <w:r w:rsidRPr="006426C6">
              <w:rPr>
                <w:rFonts w:ascii="Calibri" w:hAnsi="Calibri" w:cs="Calibri"/>
                <w:lang w:val="ru-RU"/>
              </w:rPr>
              <w:t>По завршеној области/теми ученик ће бити у стању да:</w:t>
            </w:r>
          </w:p>
        </w:tc>
      </w:tr>
      <w:tr w:rsidR="00F84F1D" w:rsidRPr="00CC2045" w:rsidTr="00114D68">
        <w:tc>
          <w:tcPr>
            <w:tcW w:w="2014" w:type="dxa"/>
            <w:vAlign w:val="center"/>
          </w:tcPr>
          <w:p w:rsidR="00F84F1D" w:rsidRPr="00ED41A6" w:rsidRDefault="00F84F1D" w:rsidP="00114D68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color w:val="0070C0"/>
              </w:rPr>
            </w:pPr>
            <w:r>
              <w:rPr>
                <w:i/>
              </w:rPr>
              <w:t>Боја</w:t>
            </w:r>
          </w:p>
        </w:tc>
        <w:tc>
          <w:tcPr>
            <w:tcW w:w="5564" w:type="dxa"/>
          </w:tcPr>
          <w:p w:rsidR="00F84F1D" w:rsidRPr="00ED41A6" w:rsidRDefault="00F84F1D" w:rsidP="00114D68">
            <w:pPr>
              <w:rPr>
                <w:lang w:val="sr-Cyrl-BA"/>
              </w:rPr>
            </w:pPr>
          </w:p>
          <w:p w:rsidR="00F84F1D" w:rsidRDefault="00F84F1D" w:rsidP="00114D68">
            <w:r w:rsidRPr="00ED41A6">
              <w:t>Пигметне боје (хроматске и ахроматске, основне и изведене боје</w:t>
            </w:r>
          </w:p>
          <w:p w:rsidR="00F84F1D" w:rsidRDefault="00F84F1D" w:rsidP="00114D68">
            <w:r>
              <w:t>Дејство боја )утисак који боја оставља на посматрача, топле и хладне боје, комплементарне боје)</w:t>
            </w:r>
          </w:p>
          <w:p w:rsidR="00F84F1D" w:rsidRDefault="00F84F1D" w:rsidP="00114D68">
            <w:r>
              <w:t>Светлост и боја (светлост као услов за опажање боје, разлике у опажању боја, валер, градација и контраст)</w:t>
            </w:r>
          </w:p>
          <w:p w:rsidR="00F84F1D" w:rsidRDefault="00F84F1D" w:rsidP="00114D68">
            <w:r>
              <w:t xml:space="preserve">Примена боја (технике и средства, акварел, темпера, мозаик, витраж, апликативни програми..., изражајна својства боја у керамици, скулптури, графици , таписерији, дизајну одеће и обуће, индустријском дизајну, примена у свакодневном </w:t>
            </w:r>
            <w:r>
              <w:lastRenderedPageBreak/>
              <w:t xml:space="preserve">животу ученика </w:t>
            </w:r>
          </w:p>
          <w:p w:rsidR="00F84F1D" w:rsidRDefault="00F84F1D" w:rsidP="00114D68">
            <w:r>
              <w:t>Уметничко најсеђе (музеји и експонати)</w:t>
            </w:r>
          </w:p>
          <w:p w:rsidR="00F84F1D" w:rsidRPr="00ED41A6" w:rsidRDefault="00F84F1D" w:rsidP="00114D68">
            <w:pPr>
              <w:rPr>
                <w:b/>
              </w:rPr>
            </w:pPr>
          </w:p>
        </w:tc>
        <w:tc>
          <w:tcPr>
            <w:tcW w:w="6480" w:type="dxa"/>
          </w:tcPr>
          <w:p w:rsidR="00F84F1D" w:rsidRPr="001744FE" w:rsidRDefault="00F84F1D" w:rsidP="00114D68">
            <w:pPr>
              <w:jc w:val="center"/>
              <w:rPr>
                <w:b/>
                <w:i/>
                <w:lang w:val="sr-Cyrl-BA"/>
              </w:rPr>
            </w:pPr>
          </w:p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Користи изажајна средства боја</w:t>
            </w:r>
          </w:p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Разуме појмове основних и изведених боја као и спектра боја и његове улоге у компоновању слике</w:t>
            </w:r>
          </w:p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Повезује искуства о мешању и разлагању боја и светла са новим градивом </w:t>
            </w:r>
          </w:p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Користи својства боја у ликовном раду и свакодневном животу</w:t>
            </w:r>
          </w:p>
          <w:p w:rsidR="00F84F1D" w:rsidRPr="00A24878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Слика разним сликарским техникама</w:t>
            </w:r>
          </w:p>
        </w:tc>
      </w:tr>
      <w:tr w:rsidR="00F84F1D" w:rsidRPr="00CC2045" w:rsidTr="00114D68">
        <w:tc>
          <w:tcPr>
            <w:tcW w:w="2014" w:type="dxa"/>
            <w:vAlign w:val="center"/>
          </w:tcPr>
          <w:p w:rsidR="00F84F1D" w:rsidRDefault="00F84F1D" w:rsidP="00114D68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lastRenderedPageBreak/>
              <w:t>Комуникација</w:t>
            </w:r>
          </w:p>
        </w:tc>
        <w:tc>
          <w:tcPr>
            <w:tcW w:w="5564" w:type="dxa"/>
          </w:tcPr>
          <w:p w:rsidR="00F84F1D" w:rsidRDefault="00F84F1D" w:rsidP="00114D68">
            <w:pPr>
              <w:rPr>
                <w:lang w:val="sr-Cyrl-BA"/>
              </w:rPr>
            </w:pPr>
            <w:r>
              <w:rPr>
                <w:lang w:val="sr-Cyrl-BA"/>
              </w:rPr>
              <w:t>Комуникативна улога уметности (теме, мотиви и поруке у визуелним уметностима, углога уметности у свакодневном животу)</w:t>
            </w:r>
          </w:p>
          <w:p w:rsidR="00F84F1D" w:rsidRPr="00ED41A6" w:rsidRDefault="00F84F1D" w:rsidP="00114D68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Уметничко наслеђе (уметност некад и сад) </w:t>
            </w:r>
          </w:p>
        </w:tc>
        <w:tc>
          <w:tcPr>
            <w:tcW w:w="6480" w:type="dxa"/>
          </w:tcPr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Тумачи једноставне визуелне информације</w:t>
            </w:r>
          </w:p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Изражава поруку визуелном комуникацијом</w:t>
            </w:r>
          </w:p>
          <w:p w:rsidR="00F84F1D" w:rsidRPr="00A24878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Пореди различите видове коумникације од историје до данас</w:t>
            </w:r>
          </w:p>
        </w:tc>
      </w:tr>
      <w:tr w:rsidR="00F84F1D" w:rsidRPr="00CC2045" w:rsidTr="00114D68">
        <w:tc>
          <w:tcPr>
            <w:tcW w:w="2014" w:type="dxa"/>
            <w:vAlign w:val="center"/>
          </w:tcPr>
          <w:p w:rsidR="00F84F1D" w:rsidRDefault="00F84F1D" w:rsidP="00114D68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Текстуре</w:t>
            </w:r>
          </w:p>
        </w:tc>
        <w:tc>
          <w:tcPr>
            <w:tcW w:w="5564" w:type="dxa"/>
          </w:tcPr>
          <w:p w:rsidR="00F84F1D" w:rsidRDefault="00F84F1D" w:rsidP="00114D68">
            <w:pPr>
              <w:rPr>
                <w:lang w:val="sr-Cyrl-BA"/>
              </w:rPr>
            </w:pPr>
            <w:r>
              <w:rPr>
                <w:lang w:val="sr-Cyrl-BA"/>
              </w:rPr>
              <w:t>Текстура (врсте текстура – тактилна и визуелна, текстуре у природи и уметничким делима, материјали и текстура, облик и текстура, линија и текстура, ритам и текстура)</w:t>
            </w:r>
          </w:p>
          <w:p w:rsidR="00F84F1D" w:rsidRPr="00A24878" w:rsidRDefault="00F84F1D" w:rsidP="00114D68">
            <w:pPr>
              <w:rPr>
                <w:lang w:val="sr-Cyrl-BA"/>
              </w:rPr>
            </w:pPr>
            <w:r>
              <w:rPr>
                <w:lang w:val="sr-Cyrl-BA"/>
              </w:rPr>
              <w:t>Уметничко наслеђе (грађевине , скулптуре и паркови)</w:t>
            </w:r>
          </w:p>
        </w:tc>
        <w:tc>
          <w:tcPr>
            <w:tcW w:w="6480" w:type="dxa"/>
          </w:tcPr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Разликује различите текстуре</w:t>
            </w:r>
          </w:p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Описује изглед површине</w:t>
            </w:r>
          </w:p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Користи различите поступке за прављење различитих текстура</w:t>
            </w:r>
          </w:p>
          <w:p w:rsidR="00F84F1D" w:rsidRPr="00A24878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Имитира познате текстуре и прави нове од разних материјала</w:t>
            </w:r>
          </w:p>
        </w:tc>
      </w:tr>
      <w:tr w:rsidR="00F84F1D" w:rsidRPr="00CC2045" w:rsidTr="00114D68">
        <w:tc>
          <w:tcPr>
            <w:tcW w:w="2014" w:type="dxa"/>
            <w:vAlign w:val="center"/>
          </w:tcPr>
          <w:p w:rsidR="00F84F1D" w:rsidRDefault="00F84F1D" w:rsidP="00114D68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Уобразиља</w:t>
            </w:r>
          </w:p>
        </w:tc>
        <w:tc>
          <w:tcPr>
            <w:tcW w:w="5564" w:type="dxa"/>
          </w:tcPr>
          <w:p w:rsidR="00F84F1D" w:rsidRDefault="00F84F1D" w:rsidP="00114D68">
            <w:pPr>
              <w:rPr>
                <w:lang w:val="sr-Cyrl-BA"/>
              </w:rPr>
            </w:pPr>
            <w:r>
              <w:rPr>
                <w:lang w:val="sr-Cyrl-BA"/>
              </w:rPr>
              <w:t>Стваралачка уобразиља (стварност и машта, значај маште, разноврсне информације као подстицај за стварање – снови, бајке, митови , легенде...)</w:t>
            </w:r>
          </w:p>
          <w:p w:rsidR="00F84F1D" w:rsidRPr="00A24878" w:rsidRDefault="00F84F1D" w:rsidP="00114D68">
            <w:pPr>
              <w:rPr>
                <w:lang w:val="sr-Cyrl-BA"/>
              </w:rPr>
            </w:pPr>
            <w:r>
              <w:rPr>
                <w:lang w:val="sr-Cyrl-BA"/>
              </w:rPr>
              <w:t>Уметничко наслеђе (необична уметничка остварења)</w:t>
            </w:r>
          </w:p>
        </w:tc>
        <w:tc>
          <w:tcPr>
            <w:tcW w:w="6480" w:type="dxa"/>
          </w:tcPr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Упоређује свет у коме живимо са светом фантазије</w:t>
            </w:r>
          </w:p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Описује надреалистичке слике</w:t>
            </w:r>
          </w:p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Препознаује ликовно представљена митолошка бића </w:t>
            </w:r>
            <w:r>
              <w:rPr>
                <w:lang w:val="sr-Cyrl-BA"/>
              </w:rPr>
              <w:br/>
              <w:t>Илуструје бајке</w:t>
            </w:r>
          </w:p>
          <w:p w:rsidR="00F84F1D" w:rsidRPr="00A24878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Црта и слика на тему свет маште</w:t>
            </w:r>
          </w:p>
        </w:tc>
      </w:tr>
      <w:tr w:rsidR="00F84F1D" w:rsidRPr="00CC2045" w:rsidTr="00114D68">
        <w:tc>
          <w:tcPr>
            <w:tcW w:w="2014" w:type="dxa"/>
            <w:vAlign w:val="center"/>
          </w:tcPr>
          <w:p w:rsidR="00F84F1D" w:rsidRDefault="00F84F1D" w:rsidP="00114D68">
            <w:pPr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t>Простор</w:t>
            </w:r>
          </w:p>
        </w:tc>
        <w:tc>
          <w:tcPr>
            <w:tcW w:w="5564" w:type="dxa"/>
          </w:tcPr>
          <w:p w:rsidR="00F84F1D" w:rsidRPr="00A24878" w:rsidRDefault="00F84F1D" w:rsidP="00114D68">
            <w:pPr>
              <w:rPr>
                <w:lang w:val="sr-Cyrl-BA"/>
              </w:rPr>
            </w:pPr>
            <w:r w:rsidRPr="00A24878">
              <w:rPr>
                <w:lang w:val="sr-Cyrl-BA"/>
              </w:rPr>
              <w:t xml:space="preserve">Амбијент (елементи који чине амбијент – дизајн </w:t>
            </w:r>
            <w:r w:rsidRPr="00A24878">
              <w:rPr>
                <w:lang w:val="sr-Cyrl-BA"/>
              </w:rPr>
              <w:lastRenderedPageBreak/>
              <w:t>ентеријера, атмосфера, корисници, утицај амбијента на расположењ, активност и учење, обликовање школског простора</w:t>
            </w:r>
            <w:r>
              <w:rPr>
                <w:lang w:val="sr-Cyrl-BA"/>
              </w:rPr>
              <w:t>)</w:t>
            </w:r>
          </w:p>
        </w:tc>
        <w:tc>
          <w:tcPr>
            <w:tcW w:w="6480" w:type="dxa"/>
          </w:tcPr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 xml:space="preserve">Схвата појам простора, амбијента, разликује ентеријер од </w:t>
            </w:r>
            <w:r>
              <w:rPr>
                <w:lang w:val="sr-Cyrl-BA"/>
              </w:rPr>
              <w:lastRenderedPageBreak/>
              <w:t>екстеријера</w:t>
            </w:r>
          </w:p>
          <w:p w:rsidR="00F84F1D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Описује и представља отворен и затворен простор</w:t>
            </w:r>
          </w:p>
          <w:p w:rsidR="00F84F1D" w:rsidRPr="00A24878" w:rsidRDefault="00F84F1D" w:rsidP="00114D6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Схвата појам дизајна и дизајнира употребне предмете</w:t>
            </w:r>
          </w:p>
        </w:tc>
      </w:tr>
    </w:tbl>
    <w:p w:rsidR="00F84F1D" w:rsidRPr="00ED0E34" w:rsidRDefault="00F84F1D" w:rsidP="00F84F1D">
      <w:pPr>
        <w:rPr>
          <w:rFonts w:ascii="Calibri" w:hAnsi="Calibri"/>
          <w:b/>
          <w:color w:val="0070C0"/>
          <w:sz w:val="18"/>
          <w:szCs w:val="28"/>
        </w:rPr>
      </w:pP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45"/>
        <w:gridCol w:w="10113"/>
      </w:tblGrid>
      <w:tr w:rsidR="00F84F1D" w:rsidRPr="00145A89" w:rsidTr="00114D68">
        <w:tc>
          <w:tcPr>
            <w:tcW w:w="3945" w:type="dxa"/>
            <w:vAlign w:val="center"/>
          </w:tcPr>
          <w:p w:rsidR="00F84F1D" w:rsidRPr="00145A89" w:rsidRDefault="00F84F1D" w:rsidP="00114D68">
            <w:pPr>
              <w:spacing w:after="0" w:line="240" w:lineRule="auto"/>
              <w:jc w:val="center"/>
              <w:rPr>
                <w:rFonts w:ascii="Calibri" w:hAnsi="Calibri"/>
                <w:b/>
                <w:color w:val="0070C0"/>
              </w:rPr>
            </w:pPr>
            <w:r w:rsidRPr="00145A89">
              <w:rPr>
                <w:rFonts w:ascii="Calibri" w:hAnsi="Calibri"/>
                <w:b/>
                <w:color w:val="0070C0"/>
              </w:rPr>
              <w:t>ОБЛАСТ/ ТЕМА</w:t>
            </w:r>
          </w:p>
        </w:tc>
        <w:tc>
          <w:tcPr>
            <w:tcW w:w="10113" w:type="dxa"/>
            <w:vAlign w:val="center"/>
          </w:tcPr>
          <w:p w:rsidR="00F84F1D" w:rsidRPr="00145A89" w:rsidRDefault="00F84F1D" w:rsidP="00114D68">
            <w:pPr>
              <w:spacing w:after="0" w:line="240" w:lineRule="auto"/>
              <w:jc w:val="center"/>
              <w:rPr>
                <w:rFonts w:ascii="Calibri" w:hAnsi="Calibri"/>
                <w:b/>
                <w:color w:val="0070C0"/>
              </w:rPr>
            </w:pPr>
            <w:r w:rsidRPr="00145A89">
              <w:rPr>
                <w:rFonts w:ascii="Calibri" w:hAnsi="Calibri"/>
                <w:b/>
                <w:color w:val="0070C0"/>
              </w:rPr>
              <w:t>НАЧИНИ И ПОСТУПЦИ ЗА ОСТВАРИВАЊЕ ПРОГРАМА</w:t>
            </w:r>
          </w:p>
        </w:tc>
      </w:tr>
      <w:tr w:rsidR="00F84F1D" w:rsidRPr="00E604F3" w:rsidTr="00114D68">
        <w:trPr>
          <w:trHeight w:val="1080"/>
        </w:trPr>
        <w:tc>
          <w:tcPr>
            <w:tcW w:w="3945" w:type="dxa"/>
            <w:vAlign w:val="center"/>
          </w:tcPr>
          <w:p w:rsidR="00F84F1D" w:rsidRPr="00340A38" w:rsidRDefault="00F84F1D" w:rsidP="00114D68">
            <w:pPr>
              <w:pStyle w:val="a3"/>
              <w:jc w:val="center"/>
              <w:rPr>
                <w:rFonts w:ascii="Calibri" w:hAnsi="Calibri"/>
                <w:b/>
                <w:color w:val="0070C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70C0"/>
                <w:sz w:val="28"/>
                <w:szCs w:val="28"/>
              </w:rPr>
              <w:t>Боја</w:t>
            </w:r>
          </w:p>
        </w:tc>
        <w:tc>
          <w:tcPr>
            <w:tcW w:w="10113" w:type="dxa"/>
            <w:vMerge w:val="restart"/>
            <w:vAlign w:val="center"/>
          </w:tcPr>
          <w:p w:rsidR="00F84F1D" w:rsidRDefault="00F84F1D" w:rsidP="00114D68">
            <w:pPr>
              <w:pStyle w:val="a3"/>
              <w:rPr>
                <w:lang w:val="sr-Cyrl-BA"/>
              </w:rPr>
            </w:pPr>
            <w:r>
              <w:rPr>
                <w:lang w:val="sr-Cyrl-BA"/>
              </w:rPr>
              <w:t>1)</w:t>
            </w:r>
            <w:r w:rsidRPr="00340A38">
              <w:rPr>
                <w:lang w:val="sr-Cyrl-BA"/>
              </w:rPr>
              <w:t>Компетенције</w:t>
            </w:r>
            <w:r>
              <w:rPr>
                <w:lang w:val="sr-Cyrl-BA"/>
              </w:rPr>
              <w:t xml:space="preserve"> – ученици анализирају, размишљају, стварају, вреднују, бирају технике и медије</w:t>
            </w:r>
            <w:r>
              <w:rPr>
                <w:lang w:val="sr-Cyrl-BA"/>
              </w:rPr>
              <w:br/>
              <w:t>Међупредметне компетенције – компетенција за целоживотно учење, вештина коумуникације, рад са информацијама и подацима, дигитална компетенција, решавање проблема, еколошка естетска компетенција</w:t>
            </w:r>
          </w:p>
          <w:p w:rsidR="00F84F1D" w:rsidRPr="00675FFB" w:rsidRDefault="00F84F1D" w:rsidP="00114D68">
            <w:pPr>
              <w:pStyle w:val="a3"/>
              <w:rPr>
                <w:rFonts w:ascii="Calibri" w:hAnsi="Calibri"/>
              </w:rPr>
            </w:pPr>
            <w:r>
              <w:rPr>
                <w:lang w:val="sr-Cyrl-BA"/>
              </w:rPr>
              <w:t>2)Корелација се остварује са српским језиком, музичком културом, физиком, историјом, математиком, биологијом како би се садржаји потпомагали и био омогућен трансфер  знања из једне у другу област</w:t>
            </w:r>
            <w:r>
              <w:rPr>
                <w:lang w:val="sr-Cyrl-BA"/>
              </w:rPr>
              <w:br/>
            </w:r>
            <w:r>
              <w:rPr>
                <w:rFonts w:ascii="Calibri" w:hAnsi="Calibri"/>
                <w:lang w:val="ru-RU"/>
              </w:rPr>
              <w:t>3) Школа је опремљена потребним наставним средствима (кабинет, библиотека, кабинет за информатику са пројектором), школа има сарадњу са осталим школама у општини, Завичајним музејом, градском библиотеком, КПЦ , галеријом Круг. То је дугогодишња сарадња која се проширује на обострану корист и задовољство.</w:t>
            </w:r>
            <w:r>
              <w:rPr>
                <w:rFonts w:ascii="Calibri" w:hAnsi="Calibri"/>
                <w:lang w:val="ru-RU"/>
              </w:rPr>
              <w:br/>
              <w:t>4) Методе : вербално текстуална, показивачка, откривачка, проблемска</w:t>
            </w:r>
            <w:r>
              <w:rPr>
                <w:rFonts w:ascii="Calibri" w:hAnsi="Calibri"/>
                <w:lang w:val="ru-RU"/>
              </w:rPr>
              <w:br/>
              <w:t>5) Употреба ИКТ у настави не значи заборавити четке, боје, књиге, већ проширивање могућности у процесу учења и стварања. Треба упознати ученике са правцима који имају обележје ИКТ (</w:t>
            </w:r>
            <w:r>
              <w:rPr>
                <w:rFonts w:ascii="Calibri" w:hAnsi="Calibri"/>
                <w:lang w:val="sr-Latn-CS"/>
              </w:rPr>
              <w:t>new media art, computer art, digital art ...)</w:t>
            </w:r>
            <w:r>
              <w:rPr>
                <w:rFonts w:ascii="Calibri" w:hAnsi="Calibri"/>
              </w:rPr>
              <w:t xml:space="preserve"> Треба упознавати ученике са коришћењем рачунара као креативне алатке.</w:t>
            </w:r>
          </w:p>
        </w:tc>
      </w:tr>
      <w:tr w:rsidR="00F84F1D" w:rsidRPr="00E604F3" w:rsidTr="00114D68">
        <w:trPr>
          <w:trHeight w:val="872"/>
        </w:trPr>
        <w:tc>
          <w:tcPr>
            <w:tcW w:w="3945" w:type="dxa"/>
            <w:vAlign w:val="center"/>
          </w:tcPr>
          <w:p w:rsidR="00F84F1D" w:rsidRPr="00675FFB" w:rsidRDefault="00F84F1D" w:rsidP="00114D68">
            <w:pPr>
              <w:pStyle w:val="a3"/>
              <w:jc w:val="center"/>
              <w:rPr>
                <w:rFonts w:ascii="Calibri" w:hAnsi="Calibri"/>
                <w:b/>
                <w:color w:val="0070C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70C0"/>
                <w:sz w:val="28"/>
                <w:szCs w:val="28"/>
              </w:rPr>
              <w:t>Комуникација</w:t>
            </w:r>
          </w:p>
        </w:tc>
        <w:tc>
          <w:tcPr>
            <w:tcW w:w="10113" w:type="dxa"/>
            <w:vMerge/>
            <w:vAlign w:val="center"/>
          </w:tcPr>
          <w:p w:rsidR="00F84F1D" w:rsidRPr="001744FE" w:rsidRDefault="00F84F1D" w:rsidP="00114D68">
            <w:pPr>
              <w:pStyle w:val="a3"/>
              <w:rPr>
                <w:i/>
                <w:lang w:val="sr-Cyrl-BA"/>
              </w:rPr>
            </w:pPr>
          </w:p>
        </w:tc>
      </w:tr>
      <w:tr w:rsidR="00F84F1D" w:rsidRPr="00E604F3" w:rsidTr="00114D68">
        <w:trPr>
          <w:trHeight w:val="935"/>
        </w:trPr>
        <w:tc>
          <w:tcPr>
            <w:tcW w:w="3945" w:type="dxa"/>
            <w:vAlign w:val="center"/>
          </w:tcPr>
          <w:p w:rsidR="00F84F1D" w:rsidRPr="00675FFB" w:rsidRDefault="00F84F1D" w:rsidP="00114D68">
            <w:pPr>
              <w:pStyle w:val="a3"/>
              <w:jc w:val="center"/>
              <w:rPr>
                <w:rFonts w:ascii="Calibri" w:hAnsi="Calibri"/>
                <w:b/>
                <w:color w:val="0070C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70C0"/>
                <w:sz w:val="28"/>
                <w:szCs w:val="28"/>
              </w:rPr>
              <w:t>Текстуре</w:t>
            </w:r>
          </w:p>
        </w:tc>
        <w:tc>
          <w:tcPr>
            <w:tcW w:w="10113" w:type="dxa"/>
            <w:vMerge/>
            <w:vAlign w:val="center"/>
          </w:tcPr>
          <w:p w:rsidR="00F84F1D" w:rsidRPr="001744FE" w:rsidRDefault="00F84F1D" w:rsidP="00114D68">
            <w:pPr>
              <w:pStyle w:val="a3"/>
              <w:rPr>
                <w:i/>
                <w:lang w:val="sr-Cyrl-BA"/>
              </w:rPr>
            </w:pPr>
          </w:p>
        </w:tc>
      </w:tr>
      <w:tr w:rsidR="00F84F1D" w:rsidRPr="00E604F3" w:rsidTr="00114D68">
        <w:trPr>
          <w:trHeight w:val="883"/>
        </w:trPr>
        <w:tc>
          <w:tcPr>
            <w:tcW w:w="3945" w:type="dxa"/>
            <w:vAlign w:val="center"/>
          </w:tcPr>
          <w:p w:rsidR="00F84F1D" w:rsidRPr="00675FFB" w:rsidRDefault="00F84F1D" w:rsidP="00114D68">
            <w:pPr>
              <w:pStyle w:val="a3"/>
              <w:jc w:val="center"/>
              <w:rPr>
                <w:rFonts w:ascii="Calibri" w:hAnsi="Calibri"/>
                <w:b/>
                <w:color w:val="0070C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70C0"/>
                <w:sz w:val="28"/>
                <w:szCs w:val="28"/>
              </w:rPr>
              <w:t>Уобразиља</w:t>
            </w:r>
          </w:p>
        </w:tc>
        <w:tc>
          <w:tcPr>
            <w:tcW w:w="10113" w:type="dxa"/>
            <w:vMerge/>
            <w:vAlign w:val="center"/>
          </w:tcPr>
          <w:p w:rsidR="00F84F1D" w:rsidRPr="001744FE" w:rsidRDefault="00F84F1D" w:rsidP="00114D68">
            <w:pPr>
              <w:pStyle w:val="a3"/>
              <w:rPr>
                <w:i/>
                <w:lang w:val="sr-Cyrl-BA"/>
              </w:rPr>
            </w:pPr>
          </w:p>
        </w:tc>
      </w:tr>
      <w:tr w:rsidR="00F84F1D" w:rsidRPr="00E604F3" w:rsidTr="00114D68">
        <w:trPr>
          <w:trHeight w:val="622"/>
        </w:trPr>
        <w:tc>
          <w:tcPr>
            <w:tcW w:w="3945" w:type="dxa"/>
            <w:vAlign w:val="center"/>
          </w:tcPr>
          <w:p w:rsidR="00F84F1D" w:rsidRPr="00675FFB" w:rsidRDefault="00F84F1D" w:rsidP="00114D68">
            <w:pPr>
              <w:pStyle w:val="a3"/>
              <w:jc w:val="center"/>
              <w:rPr>
                <w:rFonts w:ascii="Calibri" w:hAnsi="Calibri"/>
                <w:b/>
                <w:color w:val="0070C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70C0"/>
                <w:sz w:val="28"/>
                <w:szCs w:val="28"/>
              </w:rPr>
              <w:t>Простор</w:t>
            </w:r>
          </w:p>
        </w:tc>
        <w:tc>
          <w:tcPr>
            <w:tcW w:w="10113" w:type="dxa"/>
            <w:vMerge/>
            <w:vAlign w:val="center"/>
          </w:tcPr>
          <w:p w:rsidR="00F84F1D" w:rsidRPr="001744FE" w:rsidRDefault="00F84F1D" w:rsidP="00114D68">
            <w:pPr>
              <w:pStyle w:val="a3"/>
              <w:rPr>
                <w:i/>
                <w:lang w:val="sr-Cyrl-BA"/>
              </w:rPr>
            </w:pPr>
          </w:p>
        </w:tc>
      </w:tr>
    </w:tbl>
    <w:p w:rsidR="00F84F1D" w:rsidRPr="001744FE" w:rsidRDefault="00F84F1D" w:rsidP="00F84F1D"/>
    <w:p w:rsidR="00E30A81" w:rsidRDefault="00E30A81"/>
    <w:sectPr w:rsidR="00E30A81" w:rsidSect="00F84F1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F84F1D"/>
    <w:rsid w:val="00E30A81"/>
    <w:rsid w:val="00F84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1D"/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F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</dc:creator>
  <cp:keywords/>
  <dc:description/>
  <cp:lastModifiedBy>Ljubic</cp:lastModifiedBy>
  <cp:revision>2</cp:revision>
  <dcterms:created xsi:type="dcterms:W3CDTF">2020-03-04T10:51:00Z</dcterms:created>
  <dcterms:modified xsi:type="dcterms:W3CDTF">2020-03-04T10:51:00Z</dcterms:modified>
</cp:coreProperties>
</file>