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8957"/>
      </w:tblGrid>
      <w:tr w:rsidR="00083C12" w:rsidRPr="002D097F" w:rsidTr="00083C12">
        <w:tc>
          <w:tcPr>
            <w:tcW w:w="4219" w:type="dxa"/>
          </w:tcPr>
          <w:p w:rsidR="00083C12" w:rsidRPr="002D097F" w:rsidRDefault="00083C1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Назив предмета</w:t>
            </w:r>
          </w:p>
        </w:tc>
        <w:tc>
          <w:tcPr>
            <w:tcW w:w="8957" w:type="dxa"/>
          </w:tcPr>
          <w:p w:rsidR="00083C12" w:rsidRPr="002D097F" w:rsidRDefault="00B3369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МАТЕМАТИКА</w:t>
            </w:r>
          </w:p>
        </w:tc>
      </w:tr>
      <w:tr w:rsidR="00083C12" w:rsidRPr="002D097F" w:rsidTr="00083C12">
        <w:tc>
          <w:tcPr>
            <w:tcW w:w="4219" w:type="dxa"/>
          </w:tcPr>
          <w:p w:rsidR="00083C12" w:rsidRPr="002D097F" w:rsidRDefault="00083C1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Циљ </w:t>
            </w:r>
          </w:p>
        </w:tc>
        <w:tc>
          <w:tcPr>
            <w:tcW w:w="8957" w:type="dxa"/>
          </w:tcPr>
          <w:p w:rsidR="00083C12" w:rsidRPr="002D097F" w:rsidRDefault="00083C12" w:rsidP="00083C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Циљ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 учења Математике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      </w:r>
          </w:p>
        </w:tc>
      </w:tr>
      <w:tr w:rsidR="00083C12" w:rsidRPr="002D097F" w:rsidTr="00083C12">
        <w:tc>
          <w:tcPr>
            <w:tcW w:w="4219" w:type="dxa"/>
          </w:tcPr>
          <w:p w:rsidR="00083C12" w:rsidRPr="002D097F" w:rsidRDefault="00083C1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Разред </w:t>
            </w:r>
          </w:p>
        </w:tc>
        <w:tc>
          <w:tcPr>
            <w:tcW w:w="8957" w:type="dxa"/>
          </w:tcPr>
          <w:p w:rsidR="00083C12" w:rsidRPr="002D097F" w:rsidRDefault="00083C1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Шести </w:t>
            </w:r>
          </w:p>
        </w:tc>
      </w:tr>
      <w:tr w:rsidR="00083C12" w:rsidRPr="002D097F" w:rsidTr="00083C12">
        <w:tc>
          <w:tcPr>
            <w:tcW w:w="4219" w:type="dxa"/>
          </w:tcPr>
          <w:p w:rsidR="00083C12" w:rsidRPr="002D097F" w:rsidRDefault="00083C1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Годишњи фонд часова</w:t>
            </w:r>
          </w:p>
        </w:tc>
        <w:tc>
          <w:tcPr>
            <w:tcW w:w="8957" w:type="dxa"/>
          </w:tcPr>
          <w:p w:rsidR="00083C12" w:rsidRPr="002D097F" w:rsidRDefault="00083C1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144</w:t>
            </w:r>
          </w:p>
        </w:tc>
      </w:tr>
    </w:tbl>
    <w:p w:rsidR="001856B3" w:rsidRPr="002D097F" w:rsidRDefault="001856B3">
      <w:pPr>
        <w:rPr>
          <w:sz w:val="20"/>
          <w:szCs w:val="2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4252"/>
        <w:gridCol w:w="3854"/>
      </w:tblGrid>
      <w:tr w:rsidR="00083C12" w:rsidRPr="002D097F" w:rsidTr="008632A6">
        <w:tc>
          <w:tcPr>
            <w:tcW w:w="2235" w:type="dxa"/>
          </w:tcPr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083C12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Теме</w:t>
            </w:r>
          </w:p>
          <w:p w:rsidR="00083C12" w:rsidRPr="002D097F" w:rsidRDefault="00083C12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835" w:type="dxa"/>
          </w:tcPr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083C12" w:rsidRPr="002D097F" w:rsidRDefault="00083C12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Исходи </w:t>
            </w:r>
          </w:p>
        </w:tc>
        <w:tc>
          <w:tcPr>
            <w:tcW w:w="4252" w:type="dxa"/>
          </w:tcPr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083C12" w:rsidRPr="002D097F" w:rsidRDefault="00083C12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Садржаји </w:t>
            </w:r>
          </w:p>
        </w:tc>
        <w:tc>
          <w:tcPr>
            <w:tcW w:w="3854" w:type="dxa"/>
          </w:tcPr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083C12" w:rsidRPr="002D097F" w:rsidRDefault="00083C12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Начин остваривања програма</w:t>
            </w:r>
          </w:p>
        </w:tc>
      </w:tr>
      <w:tr w:rsidR="002D097F" w:rsidRPr="002D097F" w:rsidTr="008632A6">
        <w:tc>
          <w:tcPr>
            <w:tcW w:w="2235" w:type="dxa"/>
          </w:tcPr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ЦЕЛИ</w:t>
            </w: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br/>
              <w:t>БРОЈЕВИ</w:t>
            </w:r>
          </w:p>
        </w:tc>
        <w:tc>
          <w:tcPr>
            <w:tcW w:w="2835" w:type="dxa"/>
            <w:vMerge w:val="restart"/>
            <w:vAlign w:val="center"/>
          </w:tcPr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завршетку разреда ученик ће бити у стању да: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прочита, запише, упореди и представи на бројевној правој целе и рационалне бројеве (записане у облику разломка или у децималном запису);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одреди супротан број, апсолутну вредност и реципрочну вредност рационалног броја;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израчуна вредност једноставнијег бројевног израза и реши једноставну линеарну једначину и неједначину у скупу рационалних бројева;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реши једноставан проблем из свакодневног живота користећи бројевни израз, линеарну једначину или неједначину;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примени пропорцију и проценат у реалним ситуацијама;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прикаже податке и зависност између две 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величине у координатном систему (стубичасти, тачкасти и линијски дијаграм);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тумачи</w:t>
            </w:r>
            <w:proofErr w:type="gramEnd"/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податке приказане табелом и графички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</w:tcPr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Скуп целих бројева (</w:t>
            </w: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Супротан број.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Апсолутна вредност целог броја.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целих бројева на бројевној правој. Упоређивање целих бројева.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Основне рачунске операције у скупу </w:t>
            </w: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и њихова својства.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Изрази са целим бројевима.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54" w:type="dxa"/>
            <w:vMerge w:val="restart"/>
          </w:tcPr>
          <w:p w:rsidR="002D097F" w:rsidRPr="002D097F" w:rsidRDefault="002D097F" w:rsidP="00F71957">
            <w:pPr>
              <w:spacing w:after="13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Међупредметне компетенције</w:t>
            </w:r>
          </w:p>
          <w:p w:rsidR="002D097F" w:rsidRPr="002D097F" w:rsidRDefault="002D097F" w:rsidP="00F71957">
            <w:pPr>
              <w:spacing w:after="1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Остваривањем исхода, ученици усвајају основне математичке концепте, овладавају основним математичким процесима и вештинама, оспособљавају се за примену математичких знања и вештина и комуникацију математичким језиком. Кроз исходе се омогућава остваривање и међупредметних компетенција као што су комуникација, рад са подацима и информацијама, дигитална компетенција, решавање проблема, сарадња и компетенција за целоживотно учење.</w:t>
            </w:r>
          </w:p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7F" w:rsidRPr="002D097F" w:rsidRDefault="002D097F" w:rsidP="00F71957">
            <w:pPr>
              <w:spacing w:after="1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обради нових садржаја, треба се ослањати на постојеће искуство и знање ученика, и настојати, где год је то могуће, да ученици самостално откривају математичке правилности и изводе закључке. Ученике треба упућивати да користе уџбеник и друге изворе знања, како би усвојена знања била трајнија и шира, а ученици оспособљени за примену у решавању разноврсних задатака.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Корелација са другим предметима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Информатика и рачунарство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(коришћење табела и дијаграма)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Техника и технологија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(рад са конструкторима помоћу знања из геометрије)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 и књижевност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(правилно изражавање односа у математици)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Музичка култура (повезивање разломака и пропорција са музиком)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</w:t>
            </w: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(коришћење координатног система и вектора)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Биологија (употреба података и обрада током различитих експеримената)</w:t>
            </w:r>
          </w:p>
          <w:p w:rsid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Физика (коришћење знања из геометрије заједно са векторима)</w:t>
            </w:r>
          </w:p>
          <w:p w:rsidR="002D097F" w:rsidRPr="002D097F" w:rsidRDefault="002D097F" w:rsidP="00093E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Физичко васпитање (коришћење знања из геометрије)</w:t>
            </w:r>
          </w:p>
          <w:p w:rsidR="002D097F" w:rsidRPr="002D097F" w:rsidRDefault="002D097F" w:rsidP="00F71957">
            <w:pPr>
              <w:spacing w:after="130"/>
              <w:ind w:firstLine="415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F71957">
            <w:pPr>
              <w:spacing w:after="130"/>
              <w:ind w:firstLine="415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EE5AFD">
            <w:pPr>
              <w:spacing w:after="13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Коришћење ресурса</w:t>
            </w:r>
          </w:p>
          <w:p w:rsidR="002D097F" w:rsidRDefault="002D097F" w:rsidP="00EE5AFD">
            <w:pPr>
              <w:spacing w:after="1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Ученици ће током наставе активно користити кабинет за информатику, као и различите математичке софтвере за лакше савладавање градива, нарочито геометрије. </w:t>
            </w:r>
          </w:p>
          <w:p w:rsidR="002D097F" w:rsidRDefault="002D097F" w:rsidP="00EE5AFD">
            <w:pPr>
              <w:spacing w:after="1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току школске године ученици ће бити укључени у различите математичке радионице, квизове, дописне олимпијаде, такмичења и пројекте, како би трајније усвојили знања и логички повезивали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градиво.</w:t>
            </w:r>
          </w:p>
          <w:p w:rsidR="002D097F" w:rsidRDefault="002D097F" w:rsidP="00EE5AFD">
            <w:pPr>
              <w:spacing w:after="1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EE5AFD">
            <w:pPr>
              <w:spacing w:after="1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Током наставе ученици ће бити усмеравани на групни рад и рад у пару како би кроз учење математике научили</w:t>
            </w:r>
            <w:r w:rsidR="00744D1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да сарађују, комуницирају и уважавају другачије ставове и мишљења од сопствених.</w:t>
            </w:r>
            <w:bookmarkStart w:id="0" w:name="_GoBack"/>
            <w:bookmarkEnd w:id="0"/>
          </w:p>
        </w:tc>
      </w:tr>
      <w:tr w:rsidR="002D097F" w:rsidRPr="002D097F" w:rsidTr="008632A6">
        <w:tc>
          <w:tcPr>
            <w:tcW w:w="2235" w:type="dxa"/>
          </w:tcPr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461234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РАЦИОНАЛНИ</w:t>
            </w: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БРОЈЕВИ</w:t>
            </w: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</w:tcPr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Први део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Скуп рационалних бројева.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Супротан број.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Апсолутна вредност рационалног броја.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рационалних бројева на бројевној правој.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Упоређивање рационалних бројева.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Основне рачунске операције у скупу </w:t>
            </w: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Q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и њихова својства.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Изрази са рационалним бројевима.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Једначине и неједначине: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ax + b = c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; 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ax + b ≤ c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; 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ax + b &lt; c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; 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ax + b ≥ c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ax</w:t>
            </w:r>
            <w:proofErr w:type="gramEnd"/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+ b &gt; c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 ( </w:t>
            </w: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a, b, c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  <w:lang w:val="sr-Cyrl-RS"/>
                </w:rPr>
                <m:t>∈</m:t>
              </m:r>
            </m:oMath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2D097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Q, а ≠ 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0).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Други део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Координатни систем. 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података у координатном систему.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зависности међу величинама.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Размере, пропорције и проценти.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Директна пропорционалност.</w:t>
            </w:r>
          </w:p>
          <w:p w:rsidR="002D097F" w:rsidRPr="002D097F" w:rsidRDefault="002D097F" w:rsidP="00083C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Обрнута пропорционалност.</w:t>
            </w:r>
          </w:p>
          <w:p w:rsidR="002D097F" w:rsidRPr="002D097F" w:rsidRDefault="002D097F" w:rsidP="00083C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54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D097F" w:rsidRPr="002D097F" w:rsidTr="006D6761">
        <w:tc>
          <w:tcPr>
            <w:tcW w:w="2235" w:type="dxa"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ТРОУГАО</w:t>
            </w:r>
          </w:p>
          <w:p w:rsidR="002D097F" w:rsidRPr="002D097F" w:rsidRDefault="002D097F" w:rsidP="00154B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154B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154B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vMerge w:val="restart"/>
          </w:tcPr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завршетку разреда ученик ће бити у стању да: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класификује троуглове односно четвороуглове на основу њихових својстава;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конструише углове од 90° и 60° и користи њихове делове за конструкције других углова;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уочи одговарајуће елементе подударних троуглова;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утврди да ли су два троугла подударна на основу ставова подударности;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конструише троугао, паралелограм и трапез на основу задатих елемената (странице и углови троуглова и четвороуглова и дијагонала четвороугла);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примени својства троуглова и четвороуглова у једноставнијим проблемским задацима;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сабира и одузима векторе и користи их у реалним ситуацијама;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– одреди центар описане и уписане кружнице троугла;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примењује особине </w:t>
            </w: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централне и осне симетрије и транслације у једноставнијим задацима;</w:t>
            </w:r>
          </w:p>
          <w:p w:rsidR="002D097F" w:rsidRPr="002D097F" w:rsidRDefault="002D097F" w:rsidP="008632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израчуна</w:t>
            </w:r>
            <w:proofErr w:type="gramEnd"/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површину троугла и четвороугла користећи обрасце или разложиву једнакост.</w:t>
            </w:r>
          </w:p>
        </w:tc>
        <w:tc>
          <w:tcPr>
            <w:tcW w:w="4252" w:type="dxa"/>
          </w:tcPr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Први део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Појам троугла. 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Обим троугла.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Једнакокраки и једнакостранични троуглови. 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Висина троугла.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Углови троугла. 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Збир углова троуглова. 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 троуглова према угловима.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 између страница и углова троугла. Неједнакост троугла.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Конструкције неких углова (60°, 120°, 30°, 45°, 75°, 135°)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Други део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Основне конструкције троуглова.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Појам подударности и ставови подударности.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Централна симетрија и подударност.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Осна симетрија и подударност.</w:t>
            </w:r>
          </w:p>
          <w:p w:rsidR="002D097F" w:rsidRPr="002D097F" w:rsidRDefault="002D097F" w:rsidP="00154B1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Центар описане и уписане кружнице троугла.</w:t>
            </w:r>
          </w:p>
          <w:p w:rsidR="002D097F" w:rsidRPr="002D097F" w:rsidRDefault="002D097F" w:rsidP="00154B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54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D097F" w:rsidRPr="002D097F" w:rsidTr="00666B50">
        <w:tc>
          <w:tcPr>
            <w:tcW w:w="2235" w:type="dxa"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2D097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ЧЕТВОРОУГАО</w:t>
            </w: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Четвороугао. 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Углови четвороугла. 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Збир углова четвороугла.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Паралелограм. 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Особине паралелограма. 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 да четвороугао буде паралелограм.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Ромб, правоугаоник и квадрат.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Конструкцијa паралелограма.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Сабирање и одузимање вектора. 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Множење вектора бројем.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Трапез. Особине трапеза.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Средња линија троугла и трапеза.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Конструкције трапеза.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Делтоид.</w:t>
            </w:r>
          </w:p>
          <w:p w:rsidR="002D097F" w:rsidRPr="002D097F" w:rsidRDefault="002D097F" w:rsidP="008632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54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D097F" w:rsidRPr="002D097F" w:rsidTr="00666B50">
        <w:tc>
          <w:tcPr>
            <w:tcW w:w="2235" w:type="dxa"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D09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ПОВРШИНА ЧЕТВОРОУГЛА И ТРОУГЛА</w:t>
            </w: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2" w:type="dxa"/>
            <w:vAlign w:val="center"/>
          </w:tcPr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Појам површине фигуре, површина правоугаоника и квадрата.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Једнакост површина подударних фигура.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Површина паралелограма, троугла, трапеза.</w:t>
            </w:r>
          </w:p>
          <w:p w:rsidR="002D097F" w:rsidRPr="002D097F" w:rsidRDefault="002D097F" w:rsidP="008632A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D097F">
              <w:rPr>
                <w:rFonts w:ascii="Times New Roman" w:eastAsia="Times New Roman" w:hAnsi="Times New Roman" w:cs="Times New Roman"/>
                <w:sz w:val="20"/>
                <w:szCs w:val="20"/>
              </w:rPr>
              <w:t>Површина четвороугла с нормалним дијагоналама.</w:t>
            </w:r>
          </w:p>
          <w:p w:rsidR="002D097F" w:rsidRPr="002D097F" w:rsidRDefault="002D097F" w:rsidP="008632A6">
            <w:pPr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54" w:type="dxa"/>
            <w:vMerge/>
          </w:tcPr>
          <w:p w:rsidR="002D097F" w:rsidRPr="002D097F" w:rsidRDefault="002D097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083C12" w:rsidRPr="002D097F" w:rsidRDefault="00083C1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:rsidR="00610B2F" w:rsidRPr="002D097F" w:rsidRDefault="00610B2F" w:rsidP="00610B2F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Кључни појмови садржаја: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цео број, апсолутна вредност, рационалан број, изрази, једначине и неједначине, координатни систем, пропорција, конструкције углова, троуглова и четвороуглова, паралелограм, ромб, трапез, делтоид, центар описаног и уписаног круга, површине троуглова и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четвороугла.</w:t>
      </w:r>
    </w:p>
    <w:p w:rsidR="00E90849" w:rsidRPr="002D097F" w:rsidRDefault="00E90849" w:rsidP="00610B2F">
      <w:pPr>
        <w:spacing w:after="0" w:line="240" w:lineRule="auto"/>
        <w:ind w:firstLine="415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610B2F" w:rsidRPr="002D097F" w:rsidRDefault="00610B2F" w:rsidP="00E90849">
      <w:pPr>
        <w:spacing w:after="0" w:line="240" w:lineRule="auto"/>
        <w:ind w:firstLine="415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УПУТСТВО ЗА ДИДАКТИЧКО-МЕТОДИЧКО ОСТВАРИВАЊЕ ПРОГРАМА</w:t>
      </w:r>
    </w:p>
    <w:p w:rsidR="00610B2F" w:rsidRPr="002D097F" w:rsidRDefault="00610B2F" w:rsidP="00610B2F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 избору садржаја и писању исхода за предмет Математика узета је у обзир чињеница да се учењем математике ученици оспособљавају за: решавање разноврсних практичних и теоријских проблема, комуникацију математичким језиком, математичко резоновање и доношење закључака и одлука.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Такође, у обзир је узета и чињеница да сам процес учења математике има своје посебности које се огледају у броју година изучавања и недељног броја часова предмета и неопходности стицања континуираних знања.</w:t>
      </w:r>
      <w:proofErr w:type="gramEnd"/>
    </w:p>
    <w:p w:rsidR="00610B2F" w:rsidRPr="002D097F" w:rsidRDefault="00610B2F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Наставници у својој свакодневној наставној пракси, треба да се ослањају на исходе, јер они указују шта је оно за шта ученици треба да буду оспособљени током учења предмета у једној школској години.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Исходи представљају очекиване и дефинисане резултате учења и наставе.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Остваривањем исхода, ученици усвајају основне математичке концепте, овладавају основним математичким процесима и вештинама, оспособљавају се за примену математичких знања и вештина и комуникацију математичким језиком.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Кроз исходе се омогућава остваривање и међупредметних компетенција као што су комуникација, рад са подацима и информацијама, дигитална компетенција, решавање проблема, сарадња и компетенција за целоживотно учење.</w:t>
      </w:r>
      <w:proofErr w:type="gramEnd"/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Предлог за реализацију програма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Ради лакшег планирања наставе даје се оријентациони предлог броја часова по темама (укупан број часова за тему, број часова за обраду новог градива + број часова за утврђивање и систематизацију градива).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Приликом израде оперативних планова наставник распоређује укупан број часова предвиђен за поједине теме по типовима часова (обрада новог градива, утврђивање и увежбавање, понављање, проверавање и систематизација знања), водећи рачуна о циљу предмета и исходима.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Цели бројеви (24; 9 + 15)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Рационални бројеви (50; 18 + 32)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Троугао (24; 9 + 15)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Четвороугао (22; 8 + 14)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Површине фигура (16; 6 + 10)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програму су садржаји појединих тема подељени на два дела, због тога што је пожељно комбиновати алгебарске и геометријске садржаје.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Предложени редослед реализације тема: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1. Цели бројеви;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2. Троугао – први део;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3. Рационални бројеви – први део;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4. Троугао – други део;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5. Рационални бројеви – други део;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6. Четвороугао;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7. Површина 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троугла и 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четвороугла.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Предложена подела тема и редослед реализације нису обавезни за наставнике, већ представљају само један од могућих модела.</w:t>
      </w:r>
      <w:proofErr w:type="gramEnd"/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Напомена: за реализацију 4 писмена задатака (у трајању од по једног часа), са исправкама, планирано је 8 часова.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I. ПЛАНИРАЊЕ НАСТАВЕ И УЧЕЊА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Програм усмерава наставника да наставни процес конципира у складу са дефинисаним исходима, односно да планира како да ученици остваре исходе, и да изабере одговарајуће методе, активности и технике за рад са ученицима.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Дефинисани исходи показују наставнику и која су то специфична знања и вештине која су ученику потребна за даље учење и свакодневни живот.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Приликом планирања часа, исходе предвиђене програмом треба разложити на мање и на основу њих планирати активности за конкретан час.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Треба имати у виду да се исходи у програму разликују, да се неки могу лакше и брже остварити, док је за одређене исходе потребно више времена, активности и рада на различитим садржајима.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Исходе треба посматрати као циљеве којима се тежи током једне школске године.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Наставу у том смислу треба усмерити на развијање компетенција, и не треба је усмерити само на остваривање појединачних исхода.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При обради нових садржаја, треба се ослањати на постојеће искуство и знање ученика, и настојати, где год је то могуће, да ученици самостално откривају математичке правилности и изводе закључке.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Основна улога наставника је да буде организатор наставног процеса, да подстиче и усмерава активност ученика.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Ученике треба упућивати да користе уџбеник и друге изворе знања, како би усвојена знања била трајнија и шира, а ученици оспособљени за примену у решавању разноврсних задатака.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На часовима треба комбиновати различите методе и облике рада, што доприноси већој рационализацији наставног процеса, подстиче интелектуалну активност ученика и наставу чини интересантнијом и ефикаснијом.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Избор метода и облика рада зависи од наставних садржаја које треба реализовати на часу и предвиђених исхода, али и од специфичности одређеног одељења и индивидуалних карактеристика ученика.</w:t>
      </w:r>
      <w:proofErr w:type="gramEnd"/>
    </w:p>
    <w:p w:rsidR="00FD69BD" w:rsidRPr="002D097F" w:rsidRDefault="00FD69BD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II. ОСТВАРИВАЊЕ НАСТАВЕ И УЧЕЊА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Цели бројеви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Проширивањем система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природних бројева са нулом, настаје систем целих бројева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као скуп који је допуњен негативним целим бројевима и на који се, са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такође проширује значење операција и релација..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Први корак у овом проширењу чини додавање негативних целих бројева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а природни бројеви у том ширем скупу слове као позитивни цели бројеви.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Уз то треба истаћи значење тих бројева које они имају на разним скалама (термометарској, табли лифта, приказивању прихода и расхода...).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Указати на температуре – 5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о</w:t>
      </w:r>
      <w:r w:rsidR="00FD69BD"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sr-Cyrl-RS"/>
        </w:rPr>
        <w:t xml:space="preserve"> 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С, тастер лифта који носи ознаку – 1, стање на личном рачуну које има ознаку 40 000 динара и – 40 000 динара.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том смислу, пожељно је, на конкретним примерима, на разним скалама приказати неке позитивне и негативне температуре, нека позитивна и негативна финансијска стања, надморску висину...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Ако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ознака за природне бројеве, онда ће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–n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бити ознака за негативне целе бројеве и при том: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– </w:t>
      </w:r>
      <w:proofErr w:type="gramStart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proofErr w:type="gramEnd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и – n чине пар супротних бројева,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– </w:t>
      </w:r>
      <w:proofErr w:type="gramStart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proofErr w:type="gramEnd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је апсолутна вредност за оба броја: n и –n.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– </w:t>
      </w:r>
      <w:proofErr w:type="gramStart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броју</w:t>
      </w:r>
      <w:proofErr w:type="gramEnd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– n супротан је број n, тј. – </w:t>
      </w:r>
      <w:proofErr w:type="gramStart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 –</w:t>
      </w:r>
      <w:proofErr w:type="gramEnd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n) = n.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Поређење целих бројева ослања се интуитивно на њиховом представљању тачкама на бројевној правој и прати представу о распореду тих тачака.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Уз ту представу иде и она о усмереној дужи као „ходу” од тачке нула до тачке која представља тај број.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Треба нагластити да, када се бројевна права позитивно оријентише, кретање у супротном правцу генерише негативне бројеве.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том контексту треба указати и на геометријско тумачење апсолутне вредности целог броја и потенцирати апсолутну вредност целог броја као одстојање тачке од (координатне) нуле, истичући да цео број и њему супротан број имају једнаке апсолутне вредности, тј.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једнака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одстојања од (координатне) нуле.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Сабирање у скупу Z интерпретира се као настављање „ходова” тј.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надовезивање усмерених дужи, у смислу да 3 + 5 представљање наставак „кретања” у истом смеру, а да 3 + (–5) представља кретање за 3 јединице у позитивном смеру и потом 5 јединица у негативном смеру. После рада са конкретним примерима (који би били систематски груписани и записивани, као на пример, 7 + 5, 7 + (–5), (–7) + 5, (–7) + (–5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 )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треба прећи на формалну дефиницију збира целих бројева.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Та формализација може уследити и касније, када ученици у потпуности овладају сабирањем целих бројева.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Много је важније да ученици суштински схвате алгоритам сабирања и да тачно извршавају сабирање, него да знају да искажу дефиницију, а не знају да је примене.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Особине сабирања целих бројева (комутативност и асоцијативност) такође треба приказати кроз конкретне примере.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Једноставно треба показати да 7 + (–5) има једнаку вредност као и (–5) + 7, тј.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је потпуно свеједно да ли се „крећемо” прво у позитивном смеру за 7 јединичних дужи или у негативном смеру за 5 јединичних дужи.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Одузимање у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дефинише се као сабирање са супротним бројем, па је потребно истаћи да је у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та операција увек изводљива, тј.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више није неопходно да умањеник буде већи или једнак од умањиоца.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Приликом увођења множења у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први корак је опет интуитиван.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То, на пример, значи да проблем множења 3 × 2 поново сводимо на продужено сабирање, тј.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релацију 3 × 2 = 2 + 2 + 2. Аналогно и проблем 3 × (–2) сводимо на релацију 3 × (–2) = (–2) + (–2) + (–2) и кроз низ сличних примера долазимо до правила за множење позитивног и негативног целог броја.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Али и до важних последица, а то је да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 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(–1)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=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(–1) ×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 =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proofErr w:type="gramStart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×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= (–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 × 1 =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– n.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тј.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 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= n 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(–1)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× m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=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– n × m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Остаје да се објасни случај множења два негативна цела броја па производ (–3)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(–2) записујемо као (–3)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(–2) = –3 × (–2) = – (–6) = 6 (на основу већ познате једнакости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–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–n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= 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). Уопштеније (–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m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=</w:t>
      </w:r>
      <w:proofErr w:type="gramEnd"/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–n ×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–m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 =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–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 × m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 =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 × m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Свуда прво долазе конкретни примери множења, па се после њих дају опште формулације.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Својства комутативности и асоцијативности множења илуструју се прво на конкретним примерима, а тек потом се и формално изводе на основу дефиниције множења.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 сличан начин, преко примера и кроз задатке, треба илустровати и својство дистрибутивности.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Кроз примере треба и показати да скуп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није затворен за дељење, тј.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количник два цела броја није увек цео број.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Уврстимо и ову важну напомену: наративно изражавање дефиниција и својстава је дидактички врло оправдано, али тек када ученици стекну искуство кроз примере и задатке треба дати прецизну математичку формулацију (а не да се прво искажу правила, а потом да се на основу датих правила решавају задаци).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 крају ове теме треба дати преглед основних својстава операција у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користећи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b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итд.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као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ознаке за променљиве (а не оне којима се истиче знак целог броја).</w:t>
      </w:r>
    </w:p>
    <w:p w:rsidR="00FD69BD" w:rsidRPr="002D097F" w:rsidRDefault="00FD69BD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Рационални бројеви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Проширивање скупа ненегативних рационалних бројева тече на потпуно аналоган начин као и проширивање скупа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при чему се треба позивати на одговарајуће поступке примењене у случају конструкције система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и тиме скраћивати излагање.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Када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 </w:t>
      </w:r>
      <w:r w:rsidRPr="002D097F">
        <w:rPr>
          <w:rFonts w:ascii="Cambria Math" w:eastAsia="Times New Roman" w:hAnsi="Cambria Math" w:cs="Cambria Math"/>
          <w:color w:val="000000"/>
          <w:sz w:val="20"/>
          <w:szCs w:val="20"/>
        </w:rPr>
        <w:t>∈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Q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+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негативне рационалне бројеве треба означавати пишући –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и избегавати непотребно нагомилавање заграда.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Дељење у систему рационалних бројева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Q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осмишљава се као множење реципрочним бројем, па треба истаћи да је сад та операција увек изводљива (сем дељења нулом, кад треба рећи да такво дељење нема смисла).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 крају, систематизују се основна својства операција у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Q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proofErr w:type="gramEnd"/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Решавање линеарних једначина и неједначина</w:t>
      </w: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обрађивати после проширења бројевних система до скупа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Q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рационалних бројева.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Тек у овом скупу je то решавање изводљиво без познатих ограничења.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Позната правила решавања једначина и неједначина наведеног облика треба повезати и објаснити одговарајућим особинама операција у скупу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Q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: ако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 = b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онда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 + c = b + c,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ако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 &lt; b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онда је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a + c &lt; b + c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итд. На пример, неједначина 5 – 3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&lt; 6 се може решавати следећим корацима: 5 &lt; 6 + 3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(обема странама додато 3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), –1 &lt; 3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(обема странама додато –6), 3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&gt; –1,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&gt; –⅓ (обе стране помножене са ⅓).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Пожељно је приликом објашњавања користити модел теразија.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Кад се бирају нешто сложенији примери једначина и неједначина, непозната треба да фигурише само једанпут (на пример, 3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·(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x 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– 4) = 25).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Решавајући текстуалне проблеме састављањем и решавањем одговарајућих једначина и неједначина, утврђују се научени поступци и сагледава њихова примена.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делу који се односи на примену, најпре увести појам координатног система (апсцисна и ординатна оса, јединична дуж, квадранти), као и појам координата као уређеног пара који одређује положај тачке у координатној равни.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овом делу постоји могућност за понављање појмова из претходне године, одређивање осно и централно симетричних тачака и објеката у координатном систему у односу на координатне осе и координатни почетак, као и транслације тачака или познатих геометријских објеката за задати вектор.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Обрадити одређивање растојања између две тачке само када оне имају једнаке вредности апсциса или ордината, а одређивање средишта дате дужи у координатном систему повезати са појмом аритметичке средине из петог разреда.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Након усвајања основних појмова, ученици могу да прошире знања из петог разреда и приказују податке о зависним величинама табелама, тачкастим, линијским или стубичастим дијаграмима (и са вишеструким стубићима).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Важно је да се ученици оспособе да „читају” графиконе и уочавају зависности међу величинама и у случајевима када оне нису приказане директно на графикону или табели (пређени пут ‒ брзина, број килограма ‒ цена и сл.).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овом делу ученици би на једном делу часова, када савладају основне појмове, могли да се оспособе за елементарно коришћење неког од бесплатних динамичких софтвера за приказивање објеката у координатном систему и за цртање дијаграма.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Након понављања о појму размере из претходног разреда, увести појам пропорције и коефицијента пропорционалности.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Обраду овог градива подредити практичном циљу, уз повезивање са већ познатим садржајима Математике (проценти) и других предмета (Физика, Географија, Биологија, Информатика) у циљу израчунавања непознатог члана пропорције.</w:t>
      </w:r>
      <w:proofErr w:type="gramEnd"/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Кроз практичне примере, увести појам директне и обрнуте пропорционалности уз приказ зависности директне пропорционалности у координатном систему.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Директну пропорционалност приказивати графички у координатном систему и условом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у = kх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при чему се не уводи општи појам функције, а може се поменути назив график линеарне функције.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График линеарне функције повезати са практичним примерима из свакодневног живота и других предмета.</w:t>
      </w:r>
      <w:proofErr w:type="gramEnd"/>
    </w:p>
    <w:p w:rsidR="00FD69BD" w:rsidRPr="002D097F" w:rsidRDefault="00FD69BD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Троугао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Основни циљ наставе геометрије је да се настави прелаз, започет у петом разреду, са нивоа визуелизације на ниво анализирања и апстракције са првим корацима према дедукцији.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Због тога треба инсистирати на правилним формулацијама, закључивању, коришћењу логичких везника (и, или, ако...онда), али не треба претеривати у строгости код појединих дефиниција и доказа.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Изузетно је значајно да се садржаји повезују са познатим појмовима и тврђењима из претходних разреда.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неким једноставнијим ситуацијама дати потпуне доказе тврђења.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Појам троугла повезати са познатим појмом затворене изломљене линије, а обим троугла повезати са збиром дужина дужи.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Повезати тврђење о збиру унутрашњих углова троугла са познатим својствима трансверзалних углова и анализирати својства спољашњих углова троугла.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Ученике навикавати да систематски и прецизно користе одговарајуће ознаке при обележавању страница, темена и углова троугла.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Инсистирати да класификацију троуглова на оштроугле, правоугле и тупоугле усвоје сви ученици.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Појмове једнакокраког и једнакостраничног троугла повезати са осном симетријом и инсистирати да ученици прихвате да се наспрам једнаких углова у троуглу налазе једнаке странице и обрнуто.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Објаснити чињеницу да се наспрам дуже странице у троуглу налази већи угао и обрнуто, као и теорему о неједнакости троугла.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Увести висину троугла као дуж која садржи теме троугла и нормална је на праву одређену наспрамном страницом, али не помињати ортоцентар, који је предвиђен за седми разред.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Конструкције висине лењиром и шестаром повезати са знањима из петог разреда – конструкцијом нормале из тачке на праву.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Објаснити најпре конструкције углова од 90° и 60°, а затим увежбати конструкцију симетрале угла лењиром и шестаром и подсетити ученике на конструктивно сабирање и одузимање углова. На овај начин конструисати углове од 30°, 15°, 7°30’, 75°, 22°30’, 52°30’ и друге углове.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Указати на разлику између конструкције неког угла и цртања помоћу угломера.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Јасно истаћи да је у (геометријским) конструкцијама дозвољена употреба само обичног лењира и шестара.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Важно је са ученицима поновити конструкције нормале на праву из дате тачке и паралеле дате праве кроз тачку која не припада тој правој.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Након претходних уводних садржаја о троуглу, обрадити основне конструкцијe троуглова: (СУС) конструкција троугла када су дате дужине две странице и величина угла између њих; (УСУ) конструкција троугла када је дата дужина једне странице и мера углова који на њу належу; (ССС) конструкција троугла када су дате дужине све три странице; (ССУ) конструкција троугла када су дате дужине две странице и величина угла наспрам веће од њих.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Сваку од основних конструкција треба да прати одговарајуће тврђење о одређености страница и углова троугла.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Нпр. тврђење за СУС конструкцију треба да гласи: ако су дате две странице троугла и угао између њих, онда су одређене величине свих углова и свих страница тог троугла. На примерима илустровати ситуације када није могуће конструисати одговарајући троугао: у случају УСУ ако је збир датих углова већи од 180°; у случају ССС ако дате дужи не задовољавају неједнакости троугла.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На примерима показати да у случају када су задате две странице и угао наспрам 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краће од њих постоје три могућности (задатак има два решења, једно решење или нема решења), али не инсистирати на оваквим задацима.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 часовима вежбања, кроз задатке истицати специфичности у вези са конструкцијама једнакокраких, једнакостраничних и правоуглих троуглова.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(Сложеније конструкције троуглова планиране су за седми разред.)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Обрада појма подударности међу троугловима природно се дели на три фазе.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првој фази увести појам подударности ослањајући се на визуелну перцепцију и геометријску интуицију ученика.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Два троугла сматрамо подударним ако се један од њих може пренети тако да потпуно поклопи други, односно ако се ти троуглови разликују само по свом положају (у равни) и осим тога не постоји било каква друга разлика међу њима (по облику и димензијама).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овој фази, најважније је да ученици уочавају парове одговарајућих страница и парове одговарајућих углова два подударна троугла.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Друга фаза је упознавање са ставовима подударности.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Тврђења СУС, УСУ, ССС, ССУ, раније формулисана у вези са основним конструкцијама, треба да послуже за формулацију одговарајућих ставова.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Нпр. тврђење СУС треба да буде преформулисано у став СУС: Ако су две странице и њима захваћени угао једнаки двема страницама и њима захваћеним углом другог троугла, онда су ти троуглови подударни.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другој фази од ученика захтевати примену ставова само у најједноставнијим случајевима.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Прецизније, треба се ограничити искључиво на задатке: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–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којима су дата (нацртана или описана) два троугла за које се непосредно (са слике или из текста) могу уочити једнакости из услова неког става;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–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којима се захтева од ученика да уочи који став се може применити и да одреди једнакост осталих парова одговарајућих страница, односно углова.</w:t>
      </w: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Кроз задатке наведеног типа истицати специфичности у случајевима када треба утврдити подударност једнакокраких, једнакостраничних, односно правоуглих троуглова.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 трећој фази обраде подударности, применом ставова треба извести особине централне и осне симетрије које су ученицима познате из петог разреда.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Оваква примена ставова подударности пре свега се односи на детаљна објашњења наставника, кроз која ће ученици постепено усвајати дедуктивни начин закључивања.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Доказати најважнија тврђења о симетрали дужи и симетрали угла и из њих касније извести одговарајуће закључке о центру описане и уписане кружнице троугла.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(У седмом разреду биће обрађени појмови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ортоцентар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тежишна дуж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 и </w:t>
      </w:r>
      <w:r w:rsidRPr="002D097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тежиште</w:t>
      </w: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, особине у вези са њима, као и сложеније примене ставова подударности.)</w:t>
      </w:r>
      <w:proofErr w:type="gramEnd"/>
    </w:p>
    <w:p w:rsidR="00FD69BD" w:rsidRPr="002D097F" w:rsidRDefault="00FD69BD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Четвороугао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 овој области треба обрадити дефиниције и основна својства четвороуглова: паралелограма, квадрата, правоугаоника, ромба, трапеза и делтоида.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Истицати и логичку повезаност ових фигура (квадрат је правоугаоник, правоугаоник је паралелограм, ромб је паралелограм).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Посебно је важно нагласити да све особине паралелограма задовољавају и квадрат, правоугаоник и ромб, али да и сваки од њих има своје специфичне особине.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Велики број особина троуглова треба поновити и искористити приликом откривања особина четвороуглова.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Запазити да се четвороугао разлаже на два троугла (дијагоналом), ослањајући се на теореме о угловима троуглова доћи до одговарајуће теореме о угловима четвороуглова.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Паралелограму посветити највећу пажњу и пре свега обновити научено о паралелограму у петом разреду.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 основу наученог о паралелограму у петом разреду као и наученог о подударности троуглова и централној симетрији, осној симетрији и транслацији у шестом разреду, изводе се особине паралелограма и услови да четвороугао буде паралелограм.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Важно је доказати својства паралелограма.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Нагласити да су тачни и обрати неких теорема у вези са паралелограмом.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Треба се ослањати на карактеристична (и изведена) својства при извођењу једноставнијих конструкција поменутих геометријских фигура и конструкције са њима повезаним елементима (дужима, угловима и дијагоналама).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Сваки задатак са конструкцијом искористити за обнављање основних особина четвороугла који се конструише.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Обновити појам усмерених дужи и вектора (интезитет, правац, смер, једнакост вектора).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Увести појам супротног вектора и множења вектора бројем.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Објаснити поступак сабирања вектора надовезивањем вектора.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Повезати сабирање вектора са паралелограмом, дијагоналом паралелограма.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Одузимање вектора увести као сабирање вектора при чему се један вектор сабира са супротним вектором другог вектора.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Трапез дефинисати као четвороугао који има тачно један пар паралелних страница.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Разлагањем трапеза на паралелограм и троугао или паралелограм и два троугла проучити његова својства.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Такође, иста разлагања применити приликом конструкције трапеза и тако извођење конструкције трапеза свести на оне конструкције које су ученицима већ познате.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Код увођења појма средње линије троугла и трапеза и њихових својстава треба се ослонити на знања о векторима.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Увести појам и особине делтоида.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Није предвиђена конструкција делтоида.</w:t>
      </w:r>
      <w:proofErr w:type="gramEnd"/>
    </w:p>
    <w:p w:rsidR="00FD69BD" w:rsidRPr="002D097F" w:rsidRDefault="00FD69BD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Површина четвороугла и троугла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Појам површине, којој је посвећено доста пажње, ученици су упознали у првом циклусу.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Важно је обновити јединице које се користе за мерење површине.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Показати и израчунавање површине неких једноставнијих фигура нацртаних у квадратној мрежи, при чему је један квадрат те мреже изабран за јединицу мере.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Једначење површина геометријских фигура осмишљава се на класични начин, ослањајући се на појмове разложиве једнакости.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При томе се узима да су површине подударних троуглова једнаке.</w:t>
      </w:r>
      <w:proofErr w:type="gramEnd"/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Полазећи од формуле за површину правоугаоника, допуњавањем и разлагањем, изводе се формуле за површину паралелограма, троугла и трапеза.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Обрадити израчунавање површине четвороуглова са нормалним дијагоналама: квадрат, ромб, делтоид, као и израчунавање површине произвољног четвороугла разлагањем на познате геометријске фигуре.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Укључити практичне примене рачунања површина реалних објеката, и кроз ту примену константно обнављати јединице за мерење дужине и површине.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Осим тога, важно је обрадити и ситуације у којима се рачуна површина фигура задатих у координатном систему.</w:t>
      </w:r>
      <w:proofErr w:type="gramEnd"/>
    </w:p>
    <w:p w:rsidR="00FD69BD" w:rsidRPr="002D097F" w:rsidRDefault="00FD69BD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</w:pP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2D097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III. ПРАЋЕЊЕ И ВРЕДНОВАЊЕ НАСТАВЕ И УЧЕЊА</w:t>
      </w:r>
    </w:p>
    <w:p w:rsidR="00E90849" w:rsidRPr="002D097F" w:rsidRDefault="00E90849" w:rsidP="00E90849">
      <w:pPr>
        <w:spacing w:after="130" w:line="240" w:lineRule="auto"/>
        <w:ind w:firstLine="41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Саставни део процеса развоја математичких знања у свим фазама наставе је и праћење и процењивање степена остварености исхода, које треба да обезбеди што поузданије сагледавање развоја и напредовања ученика.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Тај процес започети иницијалном проценом нивоа на коме се ученик налази.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Прикупљање информација из различитих извора (свакодневна посматрања, активност на часу, учествовање у разговору и дискусији, самосталан рад, рад у групи, тестови) помаже наставнику да сагледа постигнућа (развој и напредовање) ученика и степен остварености исхода.</w:t>
      </w:r>
      <w:proofErr w:type="gramEnd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2D097F">
        <w:rPr>
          <w:rFonts w:ascii="Times New Roman" w:eastAsia="Times New Roman" w:hAnsi="Times New Roman" w:cs="Times New Roman"/>
          <w:color w:val="000000"/>
          <w:sz w:val="20"/>
          <w:szCs w:val="20"/>
        </w:rPr>
        <w:t>Свака активност је добра прилика за процену напредовања и давање повратне информације, а важно је ученике оспособљавати и охрабривати да процењују сопствени напредак у учењу.</w:t>
      </w:r>
      <w:proofErr w:type="gramEnd"/>
    </w:p>
    <w:p w:rsidR="00E90849" w:rsidRPr="002D097F" w:rsidRDefault="00E90849" w:rsidP="00E90849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E90849" w:rsidRPr="002D097F" w:rsidSect="00083C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96B33"/>
    <w:multiLevelType w:val="hybridMultilevel"/>
    <w:tmpl w:val="2F66BBAC"/>
    <w:lvl w:ilvl="0" w:tplc="BD5049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C12"/>
    <w:rsid w:val="00083C12"/>
    <w:rsid w:val="00093E9E"/>
    <w:rsid w:val="00154B12"/>
    <w:rsid w:val="001856B3"/>
    <w:rsid w:val="002D097F"/>
    <w:rsid w:val="00461234"/>
    <w:rsid w:val="00557E03"/>
    <w:rsid w:val="00610B2F"/>
    <w:rsid w:val="00744D14"/>
    <w:rsid w:val="008632A6"/>
    <w:rsid w:val="00B3369D"/>
    <w:rsid w:val="00D40EAD"/>
    <w:rsid w:val="00E90849"/>
    <w:rsid w:val="00EE5AFD"/>
    <w:rsid w:val="00F71957"/>
    <w:rsid w:val="00FD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632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2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632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2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3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PC USER</cp:lastModifiedBy>
  <cp:revision>8</cp:revision>
  <dcterms:created xsi:type="dcterms:W3CDTF">2019-06-30T21:12:00Z</dcterms:created>
  <dcterms:modified xsi:type="dcterms:W3CDTF">2019-07-01T08:44:00Z</dcterms:modified>
</cp:coreProperties>
</file>